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00000" w14:textId="00100001">
      <w:pPr>
        <w:spacing w:before="800"/>
        <w:jc w:val="center"/>
      </w:pPr>
      <w:r>
        <w:rPr>
          <w:rFonts w:ascii="黑体" w:hAnsi="黑体" w:eastAsia="黑体"/>
          <w:b/>
          <w:color w:val="1F4E79"/>
          <w:sz w:val="32"/>
        </w:rPr>
        <w:t>辽宁博远诚达材料科技有限公司</w:t>
      </w:r>
    </w:p>
    <w:p w14:paraId="00100002" w14:textId="00100003">
      <w:pPr>
        <w:spacing w:before="500"/>
        <w:jc w:val="center"/>
      </w:pPr>
      <w:r>
        <w:rPr>
          <w:rFonts w:ascii="方正小标宋简体" w:hAnsi="方正小标宋简体" w:eastAsia="方正小标宋简体"/>
          <w:b/>
          <w:sz w:val="44"/>
        </w:rPr>
        <w:t>井盖消音胶沈阳市场客户维修报价方案</w:t>
      </w:r>
    </w:p>
    <w:p w14:paraId="00100004" w14:textId="00100005">
      <w:pPr>
        <w:spacing w:before="200"/>
        <w:jc w:val="center"/>
      </w:pPr>
      <w:r>
        <w:rPr>
          <w:rFonts w:ascii="宋体" w:hAnsi="宋体" w:eastAsia="宋体"/>
          <w:b w:val="0"/>
          <w:color w:val="595959"/>
          <w:sz w:val="26"/>
        </w:rPr>
        <w:t>——面向城建城管局、电信、联通、水务及物业小区</w:t>
      </w:r>
    </w:p>
    <w:p w14:paraId="00100006" w14:textId="00100007"/>
    <w:p w14:paraId="00100008" w14:textId="00100009"/>
    <w:p w14:paraId="0010000A" w14:textId="0010000B"/>
    <w:p w14:paraId="0010000C" w14:textId="0010000D"/>
    <w:p w14:paraId="0010000E" w14:textId="0010000F">
      <w:pPr>
        <w:jc w:val="center"/>
      </w:pPr>
      <w:r>
        <w:rPr>
          <w:rFonts w:ascii="宋体" w:hAnsi="宋体" w:eastAsia="宋体"/>
          <w:b w:val="0"/>
          <w:sz w:val="22"/>
        </w:rPr>
        <w:t>版本：V1.0（客户报价及内部核价版）</w:t>
      </w:r>
    </w:p>
    <w:p w14:paraId="00100010" w14:textId="00100011">
      <w:pPr>
        <w:jc w:val="center"/>
      </w:pPr>
      <w:r>
        <w:rPr>
          <w:rFonts w:ascii="宋体" w:hAnsi="宋体" w:eastAsia="宋体"/>
          <w:b w:val="0"/>
          <w:sz w:val="22"/>
        </w:rPr>
        <w:t>编制日期：2026年9月</w:t>
      </w:r>
    </w:p>
    <w:p w14:paraId="00100012" w14:textId="00100013">
      <w:r>
        <w:br w:type="page"/>
      </w:r>
    </w:p>
    <w:p w14:paraId="00100014" w14:textId="00100015">
      <w:pPr>
        <w:spacing w:before="160" w:after="60"/>
      </w:pPr>
      <w:r>
        <w:rPr>
          <w:rFonts w:ascii="黑体" w:hAnsi="黑体" w:eastAsia="黑体"/>
          <w:b/>
          <w:color w:val="1F4E79"/>
          <w:sz w:val="26"/>
        </w:rPr>
        <w:t>一、报价方案编制说明</w:t>
      </w:r>
    </w:p>
    <w:p w14:paraId="00100016" w14:textId="00100017">
      <w:pPr>
        <w:spacing w:after="60" w:line="348" w:lineRule="auto"/>
        <w:ind w:firstLine="420"/>
      </w:pPr>
      <w:r>
        <w:rPr>
          <w:rFonts w:ascii="宋体" w:hAnsi="宋体" w:eastAsia="宋体"/>
          <w:b w:val="0"/>
          <w:sz w:val="21"/>
        </w:rPr>
        <w:t>本报价方案依据《井盖消音胶沈阳市场整体销售方案》及现有产品成本资料编制，适用于城市道路井盖异响、轻中度松动及可修复井圈配合问题的维修治理。报价不是单纯销售一支材料，而是将现场勘查、清槽处理、材料施工、专用工法、施工影像、单井档案、验收和回访纳入统一服务。</w:t>
      </w:r>
    </w:p>
    <w:p w14:paraId="00100018" w14:textId="00100019">
      <w:pPr>
        <w:spacing w:after="60" w:line="348" w:lineRule="auto"/>
        <w:ind w:firstLine="420"/>
      </w:pPr>
      <w:r>
        <w:rPr>
          <w:rFonts w:ascii="宋体" w:hAnsi="宋体" w:eastAsia="宋体"/>
          <w:b w:val="0"/>
          <w:sz w:val="21"/>
        </w:rPr>
        <w:t>本方案的核心目标是：在保证公司合理利润和服务质量的前提下，给城建城管、通信运营商、水务单位及物业客户提供清晰、可比较、可批量执行的维修单价，降低客户决策难度；同时通过批量阶梯、服务边界和附加费用规则，防止无序降价和低价承接高风险点位。</w:t>
      </w:r>
    </w:p>
    <w:p w14:paraId="0010001A" w14:textId="0010001B">
      <w:pPr>
        <w:spacing w:before="160" w:after="60"/>
      </w:pPr>
      <w:r>
        <w:rPr>
          <w:rFonts w:ascii="黑体" w:hAnsi="黑体" w:eastAsia="黑体"/>
          <w:b/>
          <w:color w:val="1F4E79"/>
          <w:sz w:val="26"/>
        </w:rPr>
        <w:t>二、单井成本及报价底线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60"/>
        <w:gridCol w:w="3360"/>
        <w:gridCol w:w="3360"/>
      </w:tblGrid>
      <w:tr>
        <w:tc>
          <w:tcPr>
            <w:tcW w:w="2160" w:type="dxa"/>
            <w:vAlign w:val="center"/>
            <w:shd w:fill="D9EAF7"/>
          </w:tcPr>
          <w:p w14:paraId="0010001C" w14:textId="0010001D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color w:val="1F4E79"/>
                <w:sz w:val="18"/>
              </w:rPr>
              <w:t>成本项目</w:t>
            </w:r>
          </w:p>
        </w:tc>
        <w:tc>
          <w:tcPr>
            <w:tcW w:w="1728" w:type="dxa"/>
            <w:vAlign w:val="center"/>
            <w:shd w:fill="D9EAF7"/>
          </w:tcPr>
          <w:p w14:paraId="0010001E" w14:textId="0010001F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color w:val="1F4E79"/>
                <w:sz w:val="18"/>
              </w:rPr>
              <w:t>成本金额</w:t>
            </w:r>
          </w:p>
        </w:tc>
        <w:tc>
          <w:tcPr>
            <w:tcW w:w="6048" w:type="dxa"/>
            <w:vAlign w:val="center"/>
            <w:shd w:fill="D9EAF7"/>
          </w:tcPr>
          <w:p w14:paraId="00100020" w14:textId="00100021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color w:val="1F4E79"/>
                <w:sz w:val="18"/>
              </w:rPr>
              <w:t>说明</w:t>
            </w:r>
          </w:p>
        </w:tc>
      </w:tr>
      <w:tr>
        <w:tc>
          <w:tcPr>
            <w:tcW w:w="2160" w:type="dxa"/>
            <w:vAlign w:val="center"/>
          </w:tcPr>
          <w:p w14:paraId="00100022" w14:textId="00100023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8"/>
              </w:rPr>
              <w:t>材料成本</w:t>
            </w:r>
          </w:p>
        </w:tc>
        <w:tc>
          <w:tcPr>
            <w:tcW w:w="1728" w:type="dxa"/>
            <w:vAlign w:val="center"/>
          </w:tcPr>
          <w:p w14:paraId="00100024" w14:textId="00100025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8"/>
              </w:rPr>
              <w:t>48元/口</w:t>
            </w:r>
          </w:p>
        </w:tc>
        <w:tc>
          <w:tcPr>
            <w:tcW w:w="6048" w:type="dxa"/>
            <w:vAlign w:val="center"/>
          </w:tcPr>
          <w:p w14:paraId="00100026" w14:textId="00100027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8"/>
              </w:rPr>
              <w:t>井盖消音胶及本次施工对应材料成本</w:t>
            </w:r>
          </w:p>
        </w:tc>
      </w:tr>
      <w:tr>
        <w:tc>
          <w:tcPr>
            <w:tcW w:w="2160" w:type="dxa"/>
            <w:vAlign w:val="center"/>
          </w:tcPr>
          <w:p w14:paraId="00100028" w14:textId="00100029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8"/>
              </w:rPr>
              <w:t>直接人工成本</w:t>
            </w:r>
          </w:p>
        </w:tc>
        <w:tc>
          <w:tcPr>
            <w:tcW w:w="1728" w:type="dxa"/>
            <w:vAlign w:val="center"/>
          </w:tcPr>
          <w:p w14:paraId="0010002A" w14:textId="0010002B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8"/>
              </w:rPr>
              <w:t>30元/口</w:t>
            </w:r>
          </w:p>
        </w:tc>
        <w:tc>
          <w:tcPr>
            <w:tcW w:w="6048" w:type="dxa"/>
            <w:vAlign w:val="center"/>
          </w:tcPr>
          <w:p w14:paraId="0010002C" w14:textId="0010002D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8"/>
              </w:rPr>
              <w:t>单个井盖正常日间施工人工成本</w:t>
            </w:r>
          </w:p>
        </w:tc>
      </w:tr>
      <w:tr>
        <w:tc>
          <w:tcPr>
            <w:tcW w:w="2160" w:type="dxa"/>
            <w:vAlign w:val="center"/>
          </w:tcPr>
          <w:p w14:paraId="0010002E" w14:textId="0010002F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8"/>
              </w:rPr>
              <w:t>已知直接成本合计</w:t>
            </w:r>
          </w:p>
        </w:tc>
        <w:tc>
          <w:tcPr>
            <w:tcW w:w="1728" w:type="dxa"/>
            <w:vAlign w:val="center"/>
          </w:tcPr>
          <w:p w14:paraId="00100030" w14:textId="00100031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8"/>
              </w:rPr>
              <w:t>78元/口</w:t>
            </w:r>
          </w:p>
        </w:tc>
        <w:tc>
          <w:tcPr>
            <w:tcW w:w="6048" w:type="dxa"/>
            <w:vAlign w:val="center"/>
          </w:tcPr>
          <w:p w14:paraId="00100032" w14:textId="00100033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8"/>
              </w:rPr>
              <w:t>本报价测算的明确成本基础</w:t>
            </w:r>
          </w:p>
        </w:tc>
      </w:tr>
      <w:tr>
        <w:tc>
          <w:tcPr>
            <w:tcW w:w="2160" w:type="dxa"/>
            <w:vAlign w:val="center"/>
          </w:tcPr>
          <w:p w14:paraId="00100034" w14:textId="00100035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8"/>
              </w:rPr>
              <w:t>建议内部管理预留</w:t>
            </w:r>
          </w:p>
        </w:tc>
        <w:tc>
          <w:tcPr>
            <w:tcW w:w="1728" w:type="dxa"/>
            <w:vAlign w:val="center"/>
          </w:tcPr>
          <w:p w14:paraId="00100036" w14:textId="00100037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8"/>
              </w:rPr>
              <w:t>30—50元/口</w:t>
            </w:r>
          </w:p>
        </w:tc>
        <w:tc>
          <w:tcPr>
            <w:tcW w:w="6048" w:type="dxa"/>
            <w:vAlign w:val="center"/>
          </w:tcPr>
          <w:p w14:paraId="00100038" w14:textId="00100039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8"/>
              </w:rPr>
              <w:t>交通、工具折旧、耗材、管理、质保回访及返修风险</w:t>
            </w:r>
          </w:p>
        </w:tc>
      </w:tr>
      <w:tr>
        <w:tc>
          <w:tcPr>
            <w:tcW w:w="2160" w:type="dxa"/>
            <w:vAlign w:val="center"/>
          </w:tcPr>
          <w:p w14:paraId="0010003A" w14:textId="0010003B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8"/>
              </w:rPr>
              <w:t>建议完全成本控制线</w:t>
            </w:r>
          </w:p>
        </w:tc>
        <w:tc>
          <w:tcPr>
            <w:tcW w:w="1728" w:type="dxa"/>
            <w:vAlign w:val="center"/>
          </w:tcPr>
          <w:p w14:paraId="0010003C" w14:textId="0010003D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8"/>
              </w:rPr>
              <w:t>108—128元/口</w:t>
            </w:r>
          </w:p>
        </w:tc>
        <w:tc>
          <w:tcPr>
            <w:tcW w:w="6048" w:type="dxa"/>
            <w:vAlign w:val="center"/>
          </w:tcPr>
          <w:p w14:paraId="0010003E" w14:textId="0010003F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8"/>
              </w:rPr>
              <w:t>用于内部核价，不直接向客户展示</w:t>
            </w:r>
          </w:p>
        </w:tc>
      </w:tr>
    </w:tbl>
    <w:p w14:paraId="00100040" w14:textId="00100041">
      <w:pPr>
        <w:spacing w:after="60" w:line="348" w:lineRule="auto"/>
        <w:ind w:firstLine="420"/>
      </w:pPr>
      <w:r>
        <w:rPr>
          <w:rFonts w:ascii="宋体" w:hAnsi="宋体" w:eastAsia="宋体"/>
          <w:b w:val="0"/>
          <w:sz w:val="21"/>
        </w:rPr>
        <w:t>报价纪律：正常日间、交通组织条件具备、井盖属于可修复范围且批量达到100口以上时，建议最低审批价原则上不低于198元/口；低于198元/口，必须由公司负责人书面审批，并同时满足客户提供现场协调、交通组织或施工辅助条件等前提。对严重沉降、井圈破损、夜间封路、远距离调度及应急抢修，不得套用最低价。</w:t>
      </w:r>
    </w:p>
    <w:p w14:paraId="00100042" w14:textId="00100043">
      <w:pPr>
        <w:spacing w:before="160" w:after="60"/>
      </w:pPr>
      <w:r>
        <w:rPr>
          <w:rFonts w:ascii="黑体" w:hAnsi="黑体" w:eastAsia="黑体"/>
          <w:b/>
          <w:color w:val="1F4E79"/>
          <w:sz w:val="26"/>
        </w:rPr>
        <w:t>三、客户分类型建议报价表</w:t>
      </w:r>
    </w:p>
    <w:p w14:paraId="00100044" w14:textId="00100045">
      <w:pPr>
        <w:spacing w:after="60" w:line="348" w:lineRule="auto"/>
        <w:ind w:firstLine="420"/>
      </w:pPr>
      <w:r>
        <w:rPr>
          <w:rFonts w:ascii="宋体" w:hAnsi="宋体" w:eastAsia="宋体"/>
          <w:b w:val="0"/>
          <w:sz w:val="21"/>
        </w:rPr>
        <w:t>以下价格为“标准施工服务包”建议对外报价口径，原则上按含税报价执行；如客户要求不含税报价、集中付款、长期框架或自有队伍施工，可在合同中单独约定。标准包包含：现场确认、基础清理、材料、施工、必要垫块/隔离措施、施工照片、单井编号、完工检查及一次回访。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16"/>
        <w:gridCol w:w="2016"/>
        <w:gridCol w:w="2016"/>
        <w:gridCol w:w="2016"/>
        <w:gridCol w:w="2016"/>
      </w:tblGrid>
      <w:tr>
        <w:tc>
          <w:tcPr>
            <w:tcW w:w="1584" w:type="dxa"/>
            <w:vAlign w:val="center"/>
            <w:shd w:fill="D9EAF7"/>
          </w:tcPr>
          <w:p w14:paraId="00100046" w14:textId="00100047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color w:val="1F4E79"/>
                <w:sz w:val="17"/>
              </w:rPr>
              <w:t>客户类型</w:t>
            </w:r>
          </w:p>
        </w:tc>
        <w:tc>
          <w:tcPr>
            <w:tcW w:w="2376" w:type="dxa"/>
            <w:vAlign w:val="center"/>
            <w:shd w:fill="D9EAF7"/>
          </w:tcPr>
          <w:p w14:paraId="00100048" w14:textId="00100049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color w:val="1F4E79"/>
                <w:sz w:val="17"/>
              </w:rPr>
              <w:t>适用场景</w:t>
            </w:r>
          </w:p>
        </w:tc>
        <w:tc>
          <w:tcPr>
            <w:tcW w:w="1584" w:type="dxa"/>
            <w:vAlign w:val="center"/>
            <w:shd w:fill="D9EAF7"/>
          </w:tcPr>
          <w:p w14:paraId="0010004A" w14:textId="0010004B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color w:val="1F4E79"/>
                <w:sz w:val="17"/>
              </w:rPr>
              <w:t>建议标准价</w:t>
            </w:r>
          </w:p>
        </w:tc>
        <w:tc>
          <w:tcPr>
            <w:tcW w:w="2880" w:type="dxa"/>
            <w:vAlign w:val="center"/>
            <w:shd w:fill="D9EAF7"/>
          </w:tcPr>
          <w:p w14:paraId="0010004C" w14:textId="0010004D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color w:val="1F4E79"/>
                <w:sz w:val="17"/>
              </w:rPr>
              <w:t>批量建议价</w:t>
            </w:r>
          </w:p>
        </w:tc>
        <w:tc>
          <w:tcPr>
            <w:tcW w:w="2232" w:type="dxa"/>
            <w:vAlign w:val="center"/>
            <w:shd w:fill="D9EAF7"/>
          </w:tcPr>
          <w:p w14:paraId="0010004E" w14:textId="0010004F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color w:val="1F4E79"/>
                <w:sz w:val="17"/>
              </w:rPr>
              <w:t>价格沟通重点</w:t>
            </w:r>
          </w:p>
        </w:tc>
      </w:tr>
      <w:tr>
        <w:tc>
          <w:tcPr>
            <w:tcW w:w="1584" w:type="dxa"/>
            <w:vAlign w:val="center"/>
          </w:tcPr>
          <w:p w14:paraId="00100050" w14:textId="00100051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7"/>
              </w:rPr>
              <w:t>城建/城管/市政养护</w:t>
            </w:r>
          </w:p>
        </w:tc>
        <w:tc>
          <w:tcPr>
            <w:tcW w:w="2376" w:type="dxa"/>
            <w:vAlign w:val="center"/>
          </w:tcPr>
          <w:p w14:paraId="00100052" w14:textId="00100053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投诉井、道路养护、片区治理</w:t>
            </w:r>
          </w:p>
        </w:tc>
        <w:tc>
          <w:tcPr>
            <w:tcW w:w="1584" w:type="dxa"/>
            <w:vAlign w:val="center"/>
          </w:tcPr>
          <w:p w14:paraId="00100054" w14:textId="00100055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7"/>
              </w:rPr>
              <w:t>298元/口</w:t>
            </w:r>
          </w:p>
        </w:tc>
        <w:tc>
          <w:tcPr>
            <w:tcW w:w="2880" w:type="dxa"/>
            <w:vAlign w:val="center"/>
          </w:tcPr>
          <w:p w14:paraId="00100056" w14:textId="00100057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100—299口：268元；300口以上：248元</w:t>
            </w:r>
          </w:p>
        </w:tc>
        <w:tc>
          <w:tcPr>
            <w:tcW w:w="2232" w:type="dxa"/>
            <w:vAlign w:val="center"/>
          </w:tcPr>
          <w:p w14:paraId="00100058" w14:textId="00100059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少封路、快恢复、单井留档、便于闭环投诉</w:t>
            </w:r>
          </w:p>
        </w:tc>
      </w:tr>
      <w:tr>
        <w:tc>
          <w:tcPr>
            <w:tcW w:w="1584" w:type="dxa"/>
            <w:vAlign w:val="center"/>
          </w:tcPr>
          <w:p w14:paraId="0010005A" w14:textId="0010005B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7"/>
              </w:rPr>
              <w:t>电信/联通等通信产权单位</w:t>
            </w:r>
          </w:p>
        </w:tc>
        <w:tc>
          <w:tcPr>
            <w:tcW w:w="2376" w:type="dxa"/>
            <w:vAlign w:val="center"/>
          </w:tcPr>
          <w:p w14:paraId="0010005C" w14:textId="0010005D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通信井、抢修井、产权井批量治理</w:t>
            </w:r>
          </w:p>
        </w:tc>
        <w:tc>
          <w:tcPr>
            <w:tcW w:w="1584" w:type="dxa"/>
            <w:vAlign w:val="center"/>
          </w:tcPr>
          <w:p w14:paraId="0010005E" w14:textId="0010005F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7"/>
              </w:rPr>
              <w:t>268元/口</w:t>
            </w:r>
          </w:p>
        </w:tc>
        <w:tc>
          <w:tcPr>
            <w:tcW w:w="2880" w:type="dxa"/>
            <w:vAlign w:val="center"/>
          </w:tcPr>
          <w:p w14:paraId="00100060" w14:textId="00100061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100—299口：238元；300口以上：218元</w:t>
            </w:r>
          </w:p>
        </w:tc>
        <w:tc>
          <w:tcPr>
            <w:tcW w:w="2232" w:type="dxa"/>
            <w:vAlign w:val="center"/>
          </w:tcPr>
          <w:p w14:paraId="00100062" w14:textId="00100063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产权责任清晰、可检修、应急响应、批量统一管理</w:t>
            </w:r>
          </w:p>
        </w:tc>
      </w:tr>
      <w:tr>
        <w:tc>
          <w:tcPr>
            <w:tcW w:w="1584" w:type="dxa"/>
            <w:vAlign w:val="center"/>
          </w:tcPr>
          <w:p w14:paraId="00100064" w14:textId="00100065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7"/>
              </w:rPr>
              <w:t>水务/供水排水单位</w:t>
            </w:r>
          </w:p>
        </w:tc>
        <w:tc>
          <w:tcPr>
            <w:tcW w:w="2376" w:type="dxa"/>
            <w:vAlign w:val="center"/>
          </w:tcPr>
          <w:p w14:paraId="00100066" w14:textId="00100067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水务井、道路检查井、重复异响井</w:t>
            </w:r>
          </w:p>
        </w:tc>
        <w:tc>
          <w:tcPr>
            <w:tcW w:w="1584" w:type="dxa"/>
            <w:vAlign w:val="center"/>
          </w:tcPr>
          <w:p w14:paraId="00100068" w14:textId="00100069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7"/>
              </w:rPr>
              <w:t>288元/口</w:t>
            </w:r>
          </w:p>
        </w:tc>
        <w:tc>
          <w:tcPr>
            <w:tcW w:w="2880" w:type="dxa"/>
            <w:vAlign w:val="center"/>
          </w:tcPr>
          <w:p w14:paraId="0010006A" w14:textId="0010006B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100—299口：258元；300口以上：238元</w:t>
            </w:r>
          </w:p>
        </w:tc>
        <w:tc>
          <w:tcPr>
            <w:tcW w:w="2232" w:type="dxa"/>
            <w:vAlign w:val="center"/>
          </w:tcPr>
          <w:p w14:paraId="0010006C" w14:textId="0010006D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不影响检修开启、降低重复工单、形成井档案</w:t>
            </w:r>
          </w:p>
        </w:tc>
      </w:tr>
      <w:tr>
        <w:tc>
          <w:tcPr>
            <w:tcW w:w="1584" w:type="dxa"/>
            <w:vAlign w:val="center"/>
          </w:tcPr>
          <w:p w14:paraId="0010006E" w14:textId="0010006F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7"/>
              </w:rPr>
              <w:t>物业/小区/园区</w:t>
            </w:r>
          </w:p>
        </w:tc>
        <w:tc>
          <w:tcPr>
            <w:tcW w:w="2376" w:type="dxa"/>
            <w:vAlign w:val="center"/>
          </w:tcPr>
          <w:p w14:paraId="00100070" w14:textId="00100071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小区道路、车库出入口、园区内部道路</w:t>
            </w:r>
          </w:p>
        </w:tc>
        <w:tc>
          <w:tcPr>
            <w:tcW w:w="1584" w:type="dxa"/>
            <w:vAlign w:val="center"/>
          </w:tcPr>
          <w:p w14:paraId="00100072" w14:textId="00100073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7"/>
              </w:rPr>
              <w:t>298元/口</w:t>
            </w:r>
          </w:p>
        </w:tc>
        <w:tc>
          <w:tcPr>
            <w:tcW w:w="2880" w:type="dxa"/>
            <w:vAlign w:val="center"/>
          </w:tcPr>
          <w:p w14:paraId="00100074" w14:textId="00100075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20—49口：278元；50口以上：258元</w:t>
            </w:r>
          </w:p>
        </w:tc>
        <w:tc>
          <w:tcPr>
            <w:tcW w:w="2232" w:type="dxa"/>
            <w:vAlign w:val="center"/>
          </w:tcPr>
          <w:p w14:paraId="00100076" w14:textId="00100077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居民投诉、车辆通行体验、施工整洁、当天恢复</w:t>
            </w:r>
          </w:p>
        </w:tc>
      </w:tr>
    </w:tbl>
    <w:p w14:paraId="00100078" w14:textId="00100079">
      <w:pPr>
        <w:spacing w:before="160" w:after="60"/>
      </w:pPr>
      <w:r>
        <w:rPr>
          <w:rFonts w:ascii="黑体" w:hAnsi="黑体" w:eastAsia="黑体"/>
          <w:b/>
          <w:color w:val="1F4E79"/>
          <w:sz w:val="26"/>
        </w:rPr>
        <w:t>四、客户容易接受的三档产品报价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16"/>
        <w:gridCol w:w="2016"/>
        <w:gridCol w:w="2016"/>
        <w:gridCol w:w="2016"/>
        <w:gridCol w:w="2016"/>
      </w:tblGrid>
      <w:tr>
        <w:tc>
          <w:tcPr>
            <w:tcW w:w="1656" w:type="dxa"/>
            <w:vAlign w:val="center"/>
            <w:shd w:fill="D9EAF7"/>
          </w:tcPr>
          <w:p w14:paraId="0010007A" w14:textId="0010007B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color w:val="1F4E79"/>
                <w:sz w:val="17"/>
              </w:rPr>
              <w:t>服务档次</w:t>
            </w:r>
          </w:p>
        </w:tc>
        <w:tc>
          <w:tcPr>
            <w:tcW w:w="1512" w:type="dxa"/>
            <w:vAlign w:val="center"/>
            <w:shd w:fill="D9EAF7"/>
          </w:tcPr>
          <w:p w14:paraId="0010007C" w14:textId="0010007D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color w:val="1F4E79"/>
                <w:sz w:val="17"/>
              </w:rPr>
              <w:t>建议单价</w:t>
            </w:r>
          </w:p>
        </w:tc>
        <w:tc>
          <w:tcPr>
            <w:tcW w:w="1944" w:type="dxa"/>
            <w:vAlign w:val="center"/>
            <w:shd w:fill="D9EAF7"/>
          </w:tcPr>
          <w:p w14:paraId="0010007E" w14:textId="0010007F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color w:val="1F4E79"/>
                <w:sz w:val="17"/>
              </w:rPr>
              <w:t>适用客户</w:t>
            </w:r>
          </w:p>
        </w:tc>
        <w:tc>
          <w:tcPr>
            <w:tcW w:w="3672" w:type="dxa"/>
            <w:vAlign w:val="center"/>
            <w:shd w:fill="D9EAF7"/>
          </w:tcPr>
          <w:p w14:paraId="00100080" w14:textId="00100081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color w:val="1F4E79"/>
                <w:sz w:val="17"/>
              </w:rPr>
              <w:t>服务内容</w:t>
            </w:r>
          </w:p>
        </w:tc>
        <w:tc>
          <w:tcPr>
            <w:tcW w:w="2448" w:type="dxa"/>
            <w:vAlign w:val="center"/>
            <w:shd w:fill="D9EAF7"/>
          </w:tcPr>
          <w:p w14:paraId="00100082" w14:textId="00100083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color w:val="1F4E79"/>
                <w:sz w:val="17"/>
              </w:rPr>
              <w:t>公司控制要求</w:t>
            </w:r>
          </w:p>
        </w:tc>
      </w:tr>
      <w:tr>
        <w:tc>
          <w:tcPr>
            <w:tcW w:w="1656" w:type="dxa"/>
            <w:vAlign w:val="center"/>
          </w:tcPr>
          <w:p w14:paraId="00100084" w14:textId="00100085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7"/>
              </w:rPr>
              <w:t>试点体验包</w:t>
            </w:r>
          </w:p>
        </w:tc>
        <w:tc>
          <w:tcPr>
            <w:tcW w:w="1512" w:type="dxa"/>
            <w:vAlign w:val="center"/>
          </w:tcPr>
          <w:p w14:paraId="00100086" w14:textId="00100087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198元/口起</w:t>
            </w:r>
          </w:p>
        </w:tc>
        <w:tc>
          <w:tcPr>
            <w:tcW w:w="1944" w:type="dxa"/>
            <w:vAlign w:val="center"/>
          </w:tcPr>
          <w:p w14:paraId="00100088" w14:textId="00100089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首批3—10口示范点</w:t>
            </w:r>
          </w:p>
        </w:tc>
        <w:tc>
          <w:tcPr>
            <w:tcW w:w="3672" w:type="dxa"/>
            <w:vAlign w:val="center"/>
          </w:tcPr>
          <w:p w14:paraId="0010008A" w14:textId="0010008B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首件施工、前后对比、基础影像、一次回访</w:t>
            </w:r>
          </w:p>
        </w:tc>
        <w:tc>
          <w:tcPr>
            <w:tcW w:w="2448" w:type="dxa"/>
            <w:vAlign w:val="center"/>
          </w:tcPr>
          <w:p w14:paraId="0010008C" w14:textId="0010008D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仅限首批试点；不得承诺长期免费或无条件低价</w:t>
            </w:r>
          </w:p>
        </w:tc>
      </w:tr>
      <w:tr>
        <w:tc>
          <w:tcPr>
            <w:tcW w:w="1656" w:type="dxa"/>
            <w:vAlign w:val="center"/>
          </w:tcPr>
          <w:p w14:paraId="0010008E" w14:textId="0010008F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7"/>
              </w:rPr>
              <w:t>标准维修包</w:t>
            </w:r>
          </w:p>
        </w:tc>
        <w:tc>
          <w:tcPr>
            <w:tcW w:w="1512" w:type="dxa"/>
            <w:vAlign w:val="center"/>
          </w:tcPr>
          <w:p w14:paraId="00100090" w14:textId="00100091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7"/>
              </w:rPr>
              <w:t>268—298元/口</w:t>
            </w:r>
          </w:p>
        </w:tc>
        <w:tc>
          <w:tcPr>
            <w:tcW w:w="1944" w:type="dxa"/>
            <w:vAlign w:val="center"/>
          </w:tcPr>
          <w:p w14:paraId="00100092" w14:textId="00100093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零星维修、物业、普通产权单位</w:t>
            </w:r>
          </w:p>
        </w:tc>
        <w:tc>
          <w:tcPr>
            <w:tcW w:w="3672" w:type="dxa"/>
            <w:vAlign w:val="center"/>
          </w:tcPr>
          <w:p w14:paraId="00100094" w14:textId="00100095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勘查、材料、人工、施工、验收记录、一次回访</w:t>
            </w:r>
          </w:p>
        </w:tc>
        <w:tc>
          <w:tcPr>
            <w:tcW w:w="2448" w:type="dxa"/>
            <w:vAlign w:val="center"/>
          </w:tcPr>
          <w:p w14:paraId="00100096" w14:textId="00100097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公司主推档，原则上按此成交</w:t>
            </w:r>
          </w:p>
        </w:tc>
      </w:tr>
      <w:tr>
        <w:tc>
          <w:tcPr>
            <w:tcW w:w="1656" w:type="dxa"/>
            <w:vAlign w:val="center"/>
          </w:tcPr>
          <w:p w14:paraId="00100098" w14:textId="00100099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7"/>
              </w:rPr>
              <w:t>片区治理包</w:t>
            </w:r>
          </w:p>
        </w:tc>
        <w:tc>
          <w:tcPr>
            <w:tcW w:w="1512" w:type="dxa"/>
            <w:vAlign w:val="center"/>
          </w:tcPr>
          <w:p w14:paraId="0010009A" w14:textId="0010009B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7"/>
              </w:rPr>
              <w:t>218—258元/口</w:t>
            </w:r>
          </w:p>
        </w:tc>
        <w:tc>
          <w:tcPr>
            <w:tcW w:w="1944" w:type="dxa"/>
            <w:vAlign w:val="center"/>
          </w:tcPr>
          <w:p w14:paraId="0010009C" w14:textId="0010009D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100口以上批量、年度框架</w:t>
            </w:r>
          </w:p>
        </w:tc>
        <w:tc>
          <w:tcPr>
            <w:tcW w:w="3672" w:type="dxa"/>
            <w:vAlign w:val="center"/>
          </w:tcPr>
          <w:p w14:paraId="0010009E" w14:textId="0010009F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批量施工、编号建档、月度统计、抽检、回访</w:t>
            </w:r>
          </w:p>
        </w:tc>
        <w:tc>
          <w:tcPr>
            <w:tcW w:w="2448" w:type="dxa"/>
            <w:vAlign w:val="center"/>
          </w:tcPr>
          <w:p w14:paraId="001000A0" w14:textId="001000A1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以批量换价格，不得拆分订单规避最低价</w:t>
            </w:r>
          </w:p>
        </w:tc>
      </w:tr>
    </w:tbl>
    <w:p w14:paraId="001000A2" w14:textId="001000A3">
      <w:pPr>
        <w:spacing w:after="60" w:line="348" w:lineRule="auto"/>
        <w:ind w:firstLine="420"/>
      </w:pPr>
      <w:r>
        <w:rPr>
          <w:rFonts w:ascii="宋体" w:hAnsi="宋体" w:eastAsia="宋体"/>
          <w:b w:val="0"/>
          <w:sz w:val="21"/>
        </w:rPr>
        <w:t>对外推荐话术：单口零星维修按298元左右报价，客户觉得预算压力较大时，不直接降到最低价，而是引导客户按片区或批量治理；达到100口后可按238—268元/口执行，既让客户获得规模优惠，也保留公司材料、人工、管理和售后利润。</w:t>
      </w:r>
    </w:p>
    <w:p w14:paraId="001000A4" w14:textId="001000A5">
      <w:pPr>
        <w:spacing w:before="160" w:after="60"/>
      </w:pPr>
      <w:r>
        <w:rPr>
          <w:rFonts w:ascii="黑体" w:hAnsi="黑体" w:eastAsia="黑体"/>
          <w:b/>
          <w:color w:val="1F4E79"/>
          <w:sz w:val="26"/>
        </w:rPr>
        <w:t>五、附加费用及特殊工况报价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20"/>
        <w:gridCol w:w="2520"/>
        <w:gridCol w:w="2520"/>
        <w:gridCol w:w="2520"/>
      </w:tblGrid>
      <w:tr>
        <w:tc>
          <w:tcPr>
            <w:tcW w:w="2232" w:type="dxa"/>
            <w:vAlign w:val="center"/>
            <w:shd w:fill="D9EAF7"/>
          </w:tcPr>
          <w:p w14:paraId="001000A6" w14:textId="001000A7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color w:val="1F4E79"/>
                <w:sz w:val="18"/>
              </w:rPr>
              <w:t>项目</w:t>
            </w:r>
          </w:p>
        </w:tc>
        <w:tc>
          <w:tcPr>
            <w:tcW w:w="1728" w:type="dxa"/>
            <w:vAlign w:val="center"/>
            <w:shd w:fill="D9EAF7"/>
          </w:tcPr>
          <w:p w14:paraId="001000A8" w14:textId="001000A9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color w:val="1F4E79"/>
                <w:sz w:val="18"/>
              </w:rPr>
              <w:t>建议加价</w:t>
            </w:r>
          </w:p>
        </w:tc>
        <w:tc>
          <w:tcPr>
            <w:tcW w:w="3600" w:type="dxa"/>
            <w:vAlign w:val="center"/>
            <w:shd w:fill="D9EAF7"/>
          </w:tcPr>
          <w:p w14:paraId="001000AA" w14:textId="001000AB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color w:val="1F4E79"/>
                <w:sz w:val="18"/>
              </w:rPr>
              <w:t>适用情形</w:t>
            </w:r>
          </w:p>
        </w:tc>
        <w:tc>
          <w:tcPr>
            <w:tcW w:w="3168" w:type="dxa"/>
            <w:vAlign w:val="center"/>
            <w:shd w:fill="D9EAF7"/>
          </w:tcPr>
          <w:p w14:paraId="001000AC" w14:textId="001000AD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color w:val="1F4E79"/>
                <w:sz w:val="18"/>
              </w:rPr>
              <w:t>备注</w:t>
            </w:r>
          </w:p>
        </w:tc>
      </w:tr>
      <w:tr>
        <w:tc>
          <w:tcPr>
            <w:tcW w:w="2232" w:type="dxa"/>
            <w:vAlign w:val="center"/>
          </w:tcPr>
          <w:p w14:paraId="001000AE" w14:textId="001000AF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8"/>
              </w:rPr>
              <w:t>夜间施工费</w:t>
            </w:r>
          </w:p>
        </w:tc>
        <w:tc>
          <w:tcPr>
            <w:tcW w:w="1728" w:type="dxa"/>
            <w:vAlign w:val="center"/>
          </w:tcPr>
          <w:p w14:paraId="001000B0" w14:textId="001000B1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8"/>
              </w:rPr>
              <w:t>+50—80元/口</w:t>
            </w:r>
          </w:p>
        </w:tc>
        <w:tc>
          <w:tcPr>
            <w:tcW w:w="3600" w:type="dxa"/>
            <w:vAlign w:val="center"/>
          </w:tcPr>
          <w:p w14:paraId="001000B2" w14:textId="001000B3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8"/>
              </w:rPr>
              <w:t>22:00—次日6:00施工</w:t>
            </w:r>
          </w:p>
        </w:tc>
        <w:tc>
          <w:tcPr>
            <w:tcW w:w="3168" w:type="dxa"/>
            <w:vAlign w:val="center"/>
          </w:tcPr>
          <w:p w14:paraId="001000B4" w14:textId="001000B5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8"/>
              </w:rPr>
              <w:t>需提前确认照明、人员及安全条件</w:t>
            </w:r>
          </w:p>
        </w:tc>
      </w:tr>
      <w:tr>
        <w:tc>
          <w:tcPr>
            <w:tcW w:w="2232" w:type="dxa"/>
            <w:vAlign w:val="center"/>
          </w:tcPr>
          <w:p w14:paraId="001000B6" w14:textId="001000B7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8"/>
              </w:rPr>
              <w:t>应急快修调度费</w:t>
            </w:r>
          </w:p>
        </w:tc>
        <w:tc>
          <w:tcPr>
            <w:tcW w:w="1728" w:type="dxa"/>
            <w:vAlign w:val="center"/>
          </w:tcPr>
          <w:p w14:paraId="001000B8" w14:textId="001000B9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8"/>
              </w:rPr>
              <w:t>+80—150元/口</w:t>
            </w:r>
          </w:p>
        </w:tc>
        <w:tc>
          <w:tcPr>
            <w:tcW w:w="3600" w:type="dxa"/>
            <w:vAlign w:val="center"/>
          </w:tcPr>
          <w:p w14:paraId="001000BA" w14:textId="001000BB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8"/>
              </w:rPr>
              <w:t>当日到场、2小时响应或督办工单</w:t>
            </w:r>
          </w:p>
        </w:tc>
        <w:tc>
          <w:tcPr>
            <w:tcW w:w="3168" w:type="dxa"/>
            <w:vAlign w:val="center"/>
          </w:tcPr>
          <w:p w14:paraId="001000BC" w14:textId="001000BD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8"/>
              </w:rPr>
              <w:t>不含大型交通导改及封路费用</w:t>
            </w:r>
          </w:p>
        </w:tc>
      </w:tr>
      <w:tr>
        <w:tc>
          <w:tcPr>
            <w:tcW w:w="2232" w:type="dxa"/>
            <w:vAlign w:val="center"/>
          </w:tcPr>
          <w:p w14:paraId="001000BE" w14:textId="001000BF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8"/>
              </w:rPr>
              <w:t>交通组织/占道配合</w:t>
            </w:r>
          </w:p>
        </w:tc>
        <w:tc>
          <w:tcPr>
            <w:tcW w:w="1728" w:type="dxa"/>
            <w:vAlign w:val="center"/>
          </w:tcPr>
          <w:p w14:paraId="001000C0" w14:textId="001000C1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8"/>
              </w:rPr>
              <w:t>据实计取</w:t>
            </w:r>
          </w:p>
        </w:tc>
        <w:tc>
          <w:tcPr>
            <w:tcW w:w="3600" w:type="dxa"/>
            <w:vAlign w:val="center"/>
          </w:tcPr>
          <w:p w14:paraId="001000C2" w14:textId="001000C3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8"/>
              </w:rPr>
              <w:t>主干道、快车道、需专门导改或封控</w:t>
            </w:r>
          </w:p>
        </w:tc>
        <w:tc>
          <w:tcPr>
            <w:tcW w:w="3168" w:type="dxa"/>
            <w:vAlign w:val="center"/>
          </w:tcPr>
          <w:p w14:paraId="001000C4" w14:textId="001000C5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8"/>
              </w:rPr>
              <w:t>由双方确认方案后报价</w:t>
            </w:r>
          </w:p>
        </w:tc>
      </w:tr>
      <w:tr>
        <w:tc>
          <w:tcPr>
            <w:tcW w:w="2232" w:type="dxa"/>
            <w:vAlign w:val="center"/>
          </w:tcPr>
          <w:p w14:paraId="001000C6" w14:textId="001000C7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8"/>
              </w:rPr>
              <w:t>远距离调度费</w:t>
            </w:r>
          </w:p>
        </w:tc>
        <w:tc>
          <w:tcPr>
            <w:tcW w:w="1728" w:type="dxa"/>
            <w:vAlign w:val="center"/>
          </w:tcPr>
          <w:p w14:paraId="001000C8" w14:textId="001000C9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8"/>
              </w:rPr>
              <w:t>据实计取</w:t>
            </w:r>
          </w:p>
        </w:tc>
        <w:tc>
          <w:tcPr>
            <w:tcW w:w="3600" w:type="dxa"/>
            <w:vAlign w:val="center"/>
          </w:tcPr>
          <w:p w14:paraId="001000CA" w14:textId="001000CB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8"/>
              </w:rPr>
              <w:t>超出沈阳市区常规服务半径</w:t>
            </w:r>
          </w:p>
        </w:tc>
        <w:tc>
          <w:tcPr>
            <w:tcW w:w="3168" w:type="dxa"/>
            <w:vAlign w:val="center"/>
          </w:tcPr>
          <w:p w14:paraId="001000CC" w14:textId="001000CD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8"/>
              </w:rPr>
              <w:t>可按批次或项目包计取</w:t>
            </w:r>
          </w:p>
        </w:tc>
      </w:tr>
      <w:tr>
        <w:tc>
          <w:tcPr>
            <w:tcW w:w="2232" w:type="dxa"/>
            <w:vAlign w:val="center"/>
          </w:tcPr>
          <w:p w14:paraId="001000CE" w14:textId="001000CF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8"/>
              </w:rPr>
              <w:t>严重沉降/结构维修</w:t>
            </w:r>
          </w:p>
        </w:tc>
        <w:tc>
          <w:tcPr>
            <w:tcW w:w="1728" w:type="dxa"/>
            <w:vAlign w:val="center"/>
          </w:tcPr>
          <w:p w14:paraId="001000D0" w14:textId="001000D1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8"/>
              </w:rPr>
              <w:t>现场另行报价</w:t>
            </w:r>
          </w:p>
        </w:tc>
        <w:tc>
          <w:tcPr>
            <w:tcW w:w="3600" w:type="dxa"/>
            <w:vAlign w:val="center"/>
          </w:tcPr>
          <w:p w14:paraId="001000D2" w14:textId="001000D3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8"/>
              </w:rPr>
              <w:t>井圈破裂、井体空洞、路基持续沉降等</w:t>
            </w:r>
          </w:p>
        </w:tc>
        <w:tc>
          <w:tcPr>
            <w:tcW w:w="3168" w:type="dxa"/>
            <w:vAlign w:val="center"/>
          </w:tcPr>
          <w:p w14:paraId="001000D4" w14:textId="001000D5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8"/>
              </w:rPr>
              <w:t>原则上转结构维修，不套用本表</w:t>
            </w:r>
          </w:p>
        </w:tc>
      </w:tr>
      <w:tr>
        <w:tc>
          <w:tcPr>
            <w:tcW w:w="2232" w:type="dxa"/>
            <w:vAlign w:val="center"/>
          </w:tcPr>
          <w:p w14:paraId="001000D6" w14:textId="001000D7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8"/>
              </w:rPr>
              <w:t>二次返修</w:t>
            </w:r>
          </w:p>
        </w:tc>
        <w:tc>
          <w:tcPr>
            <w:tcW w:w="1728" w:type="dxa"/>
            <w:vAlign w:val="center"/>
          </w:tcPr>
          <w:p w14:paraId="001000D8" w14:textId="001000D9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8"/>
              </w:rPr>
              <w:t>按责任认定</w:t>
            </w:r>
          </w:p>
        </w:tc>
        <w:tc>
          <w:tcPr>
            <w:tcW w:w="3600" w:type="dxa"/>
            <w:vAlign w:val="center"/>
          </w:tcPr>
          <w:p w14:paraId="001000DA" w14:textId="001000DB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8"/>
              </w:rPr>
              <w:t>非施工质量原因造成的损坏</w:t>
            </w:r>
          </w:p>
        </w:tc>
        <w:tc>
          <w:tcPr>
            <w:tcW w:w="3168" w:type="dxa"/>
            <w:vAlign w:val="center"/>
          </w:tcPr>
          <w:p w14:paraId="001000DC" w14:textId="001000DD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8"/>
              </w:rPr>
              <w:t>因道路结构、第三方施工等造成的另行核价</w:t>
            </w:r>
          </w:p>
        </w:tc>
      </w:tr>
    </w:tbl>
    <w:p w14:paraId="001000DE" w14:textId="001000DF">
      <w:pPr>
        <w:spacing w:before="160" w:after="60"/>
      </w:pPr>
      <w:r>
        <w:rPr>
          <w:rFonts w:ascii="黑体" w:hAnsi="黑体" w:eastAsia="黑体"/>
          <w:b/>
          <w:color w:val="1F4E79"/>
          <w:sz w:val="26"/>
        </w:rPr>
        <w:t>六、付款与合同建议</w:t>
      </w:r>
    </w:p>
    <w:p w14:paraId="001000E0" w14:textId="001000E1">
      <w:pPr>
        <w:spacing w:after="40" w:line="324" w:lineRule="auto"/>
        <w:ind w:left="360" w:hanging="240"/>
      </w:pPr>
      <w:r>
        <w:rPr>
          <w:rFonts w:ascii="宋体" w:hAnsi="宋体" w:eastAsia="宋体"/>
          <w:b w:val="0"/>
          <w:sz w:val="21"/>
        </w:rPr>
        <w:t>● 零星维修：单次20口以内，建议完工验收后7—15日结算；金额较大时可约定50%进场款、50%验收款。</w:t>
      </w:r>
    </w:p>
    <w:p w14:paraId="001000E2" w14:textId="001000E3">
      <w:pPr>
        <w:spacing w:after="40" w:line="324" w:lineRule="auto"/>
        <w:ind w:left="360" w:hanging="240"/>
      </w:pPr>
      <w:r>
        <w:rPr>
          <w:rFonts w:ascii="宋体" w:hAnsi="宋体" w:eastAsia="宋体"/>
          <w:b w:val="0"/>
          <w:sz w:val="21"/>
        </w:rPr>
        <w:t>● 批量治理：建议30%预付款，完成阶段数量并经客户确认后支付60%，留10%作为约定质保或回访款。</w:t>
      </w:r>
    </w:p>
    <w:p w14:paraId="001000E4" w14:textId="001000E5">
      <w:pPr>
        <w:spacing w:after="40" w:line="324" w:lineRule="auto"/>
        <w:ind w:left="360" w:hanging="240"/>
      </w:pPr>
      <w:r>
        <w:rPr>
          <w:rFonts w:ascii="宋体" w:hAnsi="宋体" w:eastAsia="宋体"/>
          <w:b w:val="0"/>
          <w:sz w:val="21"/>
        </w:rPr>
        <w:t>● 年度框架：采用“基础单价+响应等级+巡检/返修规则”模式，按月或季度据实结算，并设置年度额度上限。</w:t>
      </w:r>
    </w:p>
    <w:p w14:paraId="001000E6" w14:textId="001000E7">
      <w:pPr>
        <w:spacing w:after="40" w:line="324" w:lineRule="auto"/>
        <w:ind w:left="360" w:hanging="240"/>
      </w:pPr>
      <w:r>
        <w:rPr>
          <w:rFonts w:ascii="宋体" w:hAnsi="宋体" w:eastAsia="宋体"/>
          <w:b w:val="0"/>
          <w:sz w:val="21"/>
        </w:rPr>
        <w:t>● 培训供货：客户自有施工队伍的，应单独核算材料、工具、培训和首件陪同验收费用，不建议只卖胶、不管施工。</w:t>
      </w:r>
    </w:p>
    <w:p w14:paraId="001000E8" w14:textId="001000E9">
      <w:pPr>
        <w:spacing w:after="40" w:line="324" w:lineRule="auto"/>
        <w:ind w:left="360" w:hanging="240"/>
      </w:pPr>
      <w:r>
        <w:rPr>
          <w:rFonts w:ascii="宋体" w:hAnsi="宋体" w:eastAsia="宋体"/>
          <w:b w:val="0"/>
          <w:sz w:val="21"/>
        </w:rPr>
        <w:t>● 发票口径：本方案未预设税率，正式报价单应根据公司实际纳税人身份、客户发票要求及合同约定明确“含税/不含税”和税率。</w:t>
      </w:r>
    </w:p>
    <w:p w14:paraId="001000EA" w14:textId="001000EB">
      <w:pPr>
        <w:spacing w:before="160" w:after="60"/>
      </w:pPr>
      <w:r>
        <w:rPr>
          <w:rFonts w:ascii="黑体" w:hAnsi="黑体" w:eastAsia="黑体"/>
          <w:b/>
          <w:color w:val="1F4E79"/>
          <w:sz w:val="26"/>
        </w:rPr>
        <w:t>七、报价适用边界及风险控制</w:t>
      </w:r>
    </w:p>
    <w:p w14:paraId="001000EC" w14:textId="001000ED">
      <w:pPr>
        <w:spacing w:after="40" w:line="324" w:lineRule="auto"/>
        <w:ind w:left="360" w:hanging="240"/>
      </w:pPr>
      <w:r>
        <w:rPr>
          <w:rFonts w:ascii="宋体" w:hAnsi="宋体" w:eastAsia="宋体"/>
          <w:b w:val="0"/>
          <w:sz w:val="21"/>
        </w:rPr>
        <w:t>● 本报价适用于可修复的井盖异响、松动及轻中度配合问题，不能替代井盖、井圈、井体或路基的结构性维修。</w:t>
      </w:r>
    </w:p>
    <w:p w14:paraId="001000EE" w14:textId="001000EF">
      <w:pPr>
        <w:spacing w:after="40" w:line="324" w:lineRule="auto"/>
        <w:ind w:left="360" w:hanging="240"/>
      </w:pPr>
      <w:r>
        <w:rPr>
          <w:rFonts w:ascii="宋体" w:hAnsi="宋体" w:eastAsia="宋体"/>
          <w:b w:val="0"/>
          <w:sz w:val="21"/>
        </w:rPr>
        <w:t>● 施工前必须确认井盖权属、井盖等级、井圈完整性、井下安全条件、交通组织和井盖可开启要求。</w:t>
      </w:r>
    </w:p>
    <w:p w14:paraId="001000F0" w14:textId="001000F1">
      <w:pPr>
        <w:spacing w:after="40" w:line="324" w:lineRule="auto"/>
        <w:ind w:left="360" w:hanging="240"/>
      </w:pPr>
      <w:r>
        <w:rPr>
          <w:rFonts w:ascii="宋体" w:hAnsi="宋体" w:eastAsia="宋体"/>
          <w:b w:val="0"/>
          <w:sz w:val="21"/>
        </w:rPr>
        <w:t>● 施工后必须进行可开启检查、外观检查、必要的碾压复核，并形成照片、施工人员、材料批号和客户验收记录。</w:t>
      </w:r>
    </w:p>
    <w:p w14:paraId="001000F2" w14:textId="001000F3">
      <w:pPr>
        <w:spacing w:after="40" w:line="324" w:lineRule="auto"/>
        <w:ind w:left="360" w:hanging="240"/>
      </w:pPr>
      <w:r>
        <w:rPr>
          <w:rFonts w:ascii="宋体" w:hAnsi="宋体" w:eastAsia="宋体"/>
          <w:b w:val="0"/>
          <w:sz w:val="21"/>
        </w:rPr>
        <w:t>● 报价中不得使用“永久不响”“保证2—3年”“沈阳冬季已验证”等未经现场和第三方验证的绝对表述。</w:t>
      </w:r>
    </w:p>
    <w:p w14:paraId="001000F4" w14:textId="001000F5">
      <w:pPr>
        <w:spacing w:after="40" w:line="324" w:lineRule="auto"/>
        <w:ind w:left="360" w:hanging="240"/>
      </w:pPr>
      <w:r>
        <w:rPr>
          <w:rFonts w:ascii="宋体" w:hAnsi="宋体" w:eastAsia="宋体"/>
          <w:b w:val="0"/>
          <w:sz w:val="21"/>
        </w:rPr>
        <w:t>● 涉及污水、燃气、热力、消防、供水和通信井，必须将“施工后可检修、可开启”作为验收条件。</w:t>
      </w:r>
    </w:p>
    <w:p w14:paraId="001000F6" w14:textId="001000F7">
      <w:pPr>
        <w:spacing w:before="160" w:after="60"/>
      </w:pPr>
      <w:r>
        <w:rPr>
          <w:rFonts w:ascii="黑体" w:hAnsi="黑体" w:eastAsia="黑体"/>
          <w:b/>
          <w:color w:val="1F4E79"/>
          <w:sz w:val="26"/>
        </w:rPr>
        <w:t>八、公司内部报价审批规则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60"/>
        <w:gridCol w:w="3360"/>
        <w:gridCol w:w="3360"/>
      </w:tblGrid>
      <w:tr>
        <w:tc>
          <w:tcPr>
            <w:tcW w:w="1800" w:type="dxa"/>
            <w:vAlign w:val="center"/>
            <w:shd w:fill="D9EAF7"/>
          </w:tcPr>
          <w:p w14:paraId="001000F8" w14:textId="001000F9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color w:val="1F4E79"/>
                <w:sz w:val="18"/>
              </w:rPr>
              <w:t>成交单价</w:t>
            </w:r>
          </w:p>
        </w:tc>
        <w:tc>
          <w:tcPr>
            <w:tcW w:w="4752" w:type="dxa"/>
            <w:vAlign w:val="center"/>
            <w:shd w:fill="D9EAF7"/>
          </w:tcPr>
          <w:p w14:paraId="001000FA" w14:textId="001000FB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color w:val="1F4E79"/>
                <w:sz w:val="18"/>
              </w:rPr>
              <w:t>执行规则</w:t>
            </w:r>
          </w:p>
        </w:tc>
        <w:tc>
          <w:tcPr>
            <w:tcW w:w="4176" w:type="dxa"/>
            <w:vAlign w:val="center"/>
            <w:shd w:fill="D9EAF7"/>
          </w:tcPr>
          <w:p w14:paraId="001000FC" w14:textId="001000FD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color w:val="1F4E79"/>
                <w:sz w:val="18"/>
              </w:rPr>
              <w:t>审批要求</w:t>
            </w:r>
          </w:p>
        </w:tc>
      </w:tr>
      <w:tr>
        <w:tc>
          <w:tcPr>
            <w:tcW w:w="1800" w:type="dxa"/>
            <w:vAlign w:val="center"/>
          </w:tcPr>
          <w:p w14:paraId="001000FE" w14:textId="001000FF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8"/>
              </w:rPr>
              <w:t>≥268元/口</w:t>
            </w:r>
          </w:p>
        </w:tc>
        <w:tc>
          <w:tcPr>
            <w:tcW w:w="4752" w:type="dxa"/>
            <w:vAlign w:val="center"/>
          </w:tcPr>
          <w:p w14:paraId="00100100" w14:textId="00100101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8"/>
              </w:rPr>
              <w:t>正常标准报价区间</w:t>
            </w:r>
          </w:p>
        </w:tc>
        <w:tc>
          <w:tcPr>
            <w:tcW w:w="4176" w:type="dxa"/>
            <w:vAlign w:val="center"/>
          </w:tcPr>
          <w:p w14:paraId="00100102" w14:textId="00100103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8"/>
              </w:rPr>
              <w:t>销售人员可按客户类型和数量提出报价，技术负责人确认适用条件</w:t>
            </w:r>
          </w:p>
        </w:tc>
      </w:tr>
      <w:tr>
        <w:tc>
          <w:tcPr>
            <w:tcW w:w="1800" w:type="dxa"/>
            <w:vAlign w:val="center"/>
          </w:tcPr>
          <w:p w14:paraId="00100104" w14:textId="00100105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8"/>
              </w:rPr>
              <w:t>218—267元/口</w:t>
            </w:r>
          </w:p>
        </w:tc>
        <w:tc>
          <w:tcPr>
            <w:tcW w:w="4752" w:type="dxa"/>
            <w:vAlign w:val="center"/>
          </w:tcPr>
          <w:p w14:paraId="00100106" w14:textId="00100107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8"/>
              </w:rPr>
              <w:t>批量或年度框架优惠区间</w:t>
            </w:r>
          </w:p>
        </w:tc>
        <w:tc>
          <w:tcPr>
            <w:tcW w:w="4176" w:type="dxa"/>
            <w:vAlign w:val="center"/>
          </w:tcPr>
          <w:p w14:paraId="00100108" w14:textId="00100109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8"/>
              </w:rPr>
              <w:t>须明确批量数量、付款条件及服务边界，销售负责人审核</w:t>
            </w:r>
          </w:p>
        </w:tc>
      </w:tr>
      <w:tr>
        <w:tc>
          <w:tcPr>
            <w:tcW w:w="1800" w:type="dxa"/>
            <w:vAlign w:val="center"/>
          </w:tcPr>
          <w:p w14:paraId="0010010A" w14:textId="0010010B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8"/>
              </w:rPr>
              <w:t>198—217元/口</w:t>
            </w:r>
          </w:p>
        </w:tc>
        <w:tc>
          <w:tcPr>
            <w:tcW w:w="4752" w:type="dxa"/>
            <w:vAlign w:val="center"/>
          </w:tcPr>
          <w:p w14:paraId="0010010C" w14:textId="0010010D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8"/>
              </w:rPr>
              <w:t>特殊批量/样板支持区间</w:t>
            </w:r>
          </w:p>
        </w:tc>
        <w:tc>
          <w:tcPr>
            <w:tcW w:w="4176" w:type="dxa"/>
            <w:vAlign w:val="center"/>
          </w:tcPr>
          <w:p w14:paraId="0010010E" w14:textId="0010010F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8"/>
              </w:rPr>
              <w:t>须公司负责人审批，原则上要求100口以上或具有标杆示范价值</w:t>
            </w:r>
          </w:p>
        </w:tc>
      </w:tr>
      <w:tr>
        <w:tc>
          <w:tcPr>
            <w:tcW w:w="1800" w:type="dxa"/>
            <w:vAlign w:val="center"/>
          </w:tcPr>
          <w:p w14:paraId="00100110" w14:textId="00100111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8"/>
              </w:rPr>
              <w:t>＜198元/口</w:t>
            </w:r>
          </w:p>
        </w:tc>
        <w:tc>
          <w:tcPr>
            <w:tcW w:w="4752" w:type="dxa"/>
            <w:vAlign w:val="center"/>
          </w:tcPr>
          <w:p w14:paraId="00100112" w14:textId="00100113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8"/>
              </w:rPr>
              <w:t>原则上禁止</w:t>
            </w:r>
          </w:p>
        </w:tc>
        <w:tc>
          <w:tcPr>
            <w:tcW w:w="4176" w:type="dxa"/>
            <w:vAlign w:val="center"/>
          </w:tcPr>
          <w:p w14:paraId="00100114" w14:textId="00100115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8"/>
              </w:rPr>
              <w:t>除非经过专项核算和书面批准，不得承诺；试点也不得无限延长</w:t>
            </w:r>
          </w:p>
        </w:tc>
      </w:tr>
    </w:tbl>
    <w:p w14:paraId="00100116" w14:textId="00100117">
      <w:pPr>
        <w:spacing w:after="60" w:line="348" w:lineRule="auto"/>
        <w:ind w:firstLine="420"/>
      </w:pPr>
      <w:r>
        <w:rPr>
          <w:rFonts w:ascii="宋体" w:hAnsi="宋体" w:eastAsia="宋体"/>
          <w:b w:val="0"/>
          <w:sz w:val="21"/>
        </w:rPr>
        <w:t>内部核算提醒：不能只用78元直接成本判断是否赚钱。正式承接前，应同步核算车辆、工具、耗材、项目管理、税费、资金占用、质保回访及潜在返修；如果客户要求夜间、远距离、封路或高频响应，应优先收取附加费用，而不是从单价中硬扛。</w:t>
      </w:r>
    </w:p>
    <w:p w14:paraId="00100118" w14:textId="00100119">
      <w:pPr>
        <w:spacing w:before="160" w:after="60"/>
      </w:pPr>
      <w:r>
        <w:rPr>
          <w:rFonts w:ascii="黑体" w:hAnsi="黑体" w:eastAsia="黑体"/>
          <w:b/>
          <w:color w:val="1F4E79"/>
          <w:sz w:val="26"/>
        </w:rPr>
        <w:t>九、推荐对外报价结论</w:t>
      </w:r>
    </w:p>
    <w:p w14:paraId="0010011A" w14:textId="0010011B">
      <w:pPr>
        <w:spacing w:after="60" w:line="348" w:lineRule="auto"/>
        <w:ind w:firstLine="420"/>
      </w:pPr>
      <w:r>
        <w:rPr>
          <w:rFonts w:ascii="宋体" w:hAnsi="宋体" w:eastAsia="宋体"/>
          <w:b w:val="0"/>
          <w:sz w:val="21"/>
        </w:rPr>
        <w:t>综合客户接受度、沈阳市场推广需要和公司利润保护，建议对外统一采用“298元/口标准价”作为零星维修锚定价格；对城建城管、通信、水务等批量客户，按数量采用238—268元/口的阶梯优惠；对物业小区采用258—298元/口的集中治理价格。198元/口仅作为首批试点或经审批的项目支持价，不作为常态市场价格。</w:t>
      </w:r>
    </w:p>
    <w:p w14:paraId="0010011C" w14:textId="0010011D">
      <w:pPr>
        <w:spacing w:after="60" w:line="348" w:lineRule="auto"/>
        <w:ind w:firstLine="420"/>
      </w:pPr>
      <w:r>
        <w:rPr>
          <w:rFonts w:ascii="宋体" w:hAnsi="宋体" w:eastAsia="宋体"/>
          <w:b w:val="0"/>
          <w:sz w:val="21"/>
        </w:rPr>
        <w:t>建议销售最终报价单写明：适用范围、施工内容、单价、数量、付款方式、回访安排、井盖可开启要求、特殊工况加价及不适用情形。这样客户看得懂、预算编得进，公司也不至于“干得越多亏得越快”。</w:t>
      </w:r>
    </w:p>
    <w:p w14:paraId="0010011E" w14:textId="0010011F">
      <w:pPr>
        <w:spacing w:before="160" w:after="60"/>
      </w:pPr>
      <w:r>
        <w:rPr>
          <w:rFonts w:ascii="黑体" w:hAnsi="黑体" w:eastAsia="黑体"/>
          <w:b/>
          <w:color w:val="1F4E79"/>
          <w:sz w:val="26"/>
        </w:rPr>
        <w:t>附件：客户正式报价单简版模板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20"/>
        <w:gridCol w:w="2520"/>
        <w:gridCol w:w="2520"/>
        <w:gridCol w:w="2520"/>
      </w:tblGrid>
      <w:tr>
        <w:tc>
          <w:tcPr>
            <w:tcW w:w="2880" w:type="dxa"/>
            <w:vAlign w:val="center"/>
            <w:shd w:fill="D9EAF7"/>
          </w:tcPr>
          <w:p w14:paraId="00100120" w14:textId="00100121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color w:val="1F4E79"/>
                <w:sz w:val="18"/>
              </w:rPr>
              <w:t>项目名称</w:t>
            </w:r>
          </w:p>
        </w:tc>
        <w:tc>
          <w:tcPr>
            <w:tcW w:w="2880" w:type="dxa"/>
            <w:vAlign w:val="center"/>
            <w:shd w:fill="D9EAF7"/>
          </w:tcPr>
          <w:p w14:paraId="00100122" w14:textId="00100123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color w:val="1F4E79"/>
                <w:sz w:val="18"/>
              </w:rPr>
              <w:t>客户单位</w:t>
            </w:r>
          </w:p>
        </w:tc>
        <w:tc>
          <w:tcPr>
            <w:tcW w:w="2880" w:type="dxa"/>
            <w:vAlign w:val="center"/>
            <w:shd w:fill="D9EAF7"/>
          </w:tcPr>
          <w:p w14:paraId="00100124" w14:textId="00100125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color w:val="1F4E79"/>
                <w:sz w:val="18"/>
              </w:rPr>
              <w:t>施工地点</w:t>
            </w:r>
          </w:p>
        </w:tc>
        <w:tc>
          <w:tcPr>
            <w:tcW w:w="2160" w:type="dxa"/>
            <w:vAlign w:val="center"/>
            <w:shd w:fill="D9EAF7"/>
          </w:tcPr>
          <w:p w14:paraId="00100126" w14:textId="00100127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color w:val="1F4E79"/>
                <w:sz w:val="18"/>
              </w:rPr>
              <w:t>报价日期</w:t>
            </w:r>
          </w:p>
        </w:tc>
      </w:tr>
      <w:tr>
        <w:tc>
          <w:tcPr>
            <w:tcW w:w="2880" w:type="dxa"/>
            <w:vAlign w:val="center"/>
          </w:tcPr>
          <w:p w14:paraId="00100128" w14:textId="00100129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8"/>
              </w:rPr>
              <w:t>________________</w:t>
            </w:r>
          </w:p>
        </w:tc>
        <w:tc>
          <w:tcPr>
            <w:tcW w:w="2880" w:type="dxa"/>
            <w:vAlign w:val="center"/>
          </w:tcPr>
          <w:p w14:paraId="0010012A" w14:textId="0010012B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8"/>
              </w:rPr>
              <w:t>________________</w:t>
            </w:r>
          </w:p>
        </w:tc>
        <w:tc>
          <w:tcPr>
            <w:tcW w:w="2880" w:type="dxa"/>
            <w:vAlign w:val="center"/>
          </w:tcPr>
          <w:p w14:paraId="0010012C" w14:textId="0010012D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8"/>
              </w:rPr>
              <w:t>________________</w:t>
            </w:r>
          </w:p>
        </w:tc>
        <w:tc>
          <w:tcPr>
            <w:tcW w:w="2160" w:type="dxa"/>
            <w:vAlign w:val="center"/>
          </w:tcPr>
          <w:p w14:paraId="0010012E" w14:textId="0010012F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8"/>
              </w:rPr>
              <w:t>2026年__月__日</w:t>
            </w: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w="648" w:type="dxa"/>
            <w:vAlign w:val="center"/>
            <w:shd w:fill="D9EAF7"/>
          </w:tcPr>
          <w:p w14:paraId="00100130" w14:textId="00100131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color w:val="1F4E79"/>
                <w:sz w:val="17"/>
              </w:rPr>
              <w:t>序号</w:t>
            </w:r>
          </w:p>
        </w:tc>
        <w:tc>
          <w:tcPr>
            <w:tcW w:w="3312" w:type="dxa"/>
            <w:vAlign w:val="center"/>
            <w:shd w:fill="D9EAF7"/>
          </w:tcPr>
          <w:p w14:paraId="00100132" w14:textId="00100133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color w:val="1F4E79"/>
                <w:sz w:val="17"/>
              </w:rPr>
              <w:t>服务内容</w:t>
            </w:r>
          </w:p>
        </w:tc>
        <w:tc>
          <w:tcPr>
            <w:tcW w:w="720" w:type="dxa"/>
            <w:vAlign w:val="center"/>
            <w:shd w:fill="D9EAF7"/>
          </w:tcPr>
          <w:p w14:paraId="00100134" w14:textId="00100135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color w:val="1F4E79"/>
                <w:sz w:val="17"/>
              </w:rPr>
              <w:t>单位</w:t>
            </w:r>
          </w:p>
        </w:tc>
        <w:tc>
          <w:tcPr>
            <w:tcW w:w="864" w:type="dxa"/>
            <w:vAlign w:val="center"/>
            <w:shd w:fill="D9EAF7"/>
          </w:tcPr>
          <w:p w14:paraId="00100136" w14:textId="00100137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color w:val="1F4E79"/>
                <w:sz w:val="17"/>
              </w:rPr>
              <w:t>数量</w:t>
            </w:r>
          </w:p>
        </w:tc>
        <w:tc>
          <w:tcPr>
            <w:tcW w:w="1440" w:type="dxa"/>
            <w:vAlign w:val="center"/>
            <w:shd w:fill="D9EAF7"/>
          </w:tcPr>
          <w:p w14:paraId="00100138" w14:textId="00100139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color w:val="1F4E79"/>
                <w:sz w:val="17"/>
              </w:rPr>
              <w:t>含税单价（元）</w:t>
            </w:r>
          </w:p>
        </w:tc>
        <w:tc>
          <w:tcPr>
            <w:tcW w:w="1440" w:type="dxa"/>
            <w:vAlign w:val="center"/>
            <w:shd w:fill="D9EAF7"/>
          </w:tcPr>
          <w:p w14:paraId="0010013A" w14:textId="0010013B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color w:val="1F4E79"/>
                <w:sz w:val="17"/>
              </w:rPr>
              <w:t>含税合价（元）</w:t>
            </w:r>
          </w:p>
        </w:tc>
        <w:tc>
          <w:tcPr>
            <w:tcW w:w="2304" w:type="dxa"/>
            <w:vAlign w:val="center"/>
            <w:shd w:fill="D9EAF7"/>
          </w:tcPr>
          <w:p w14:paraId="0010013C" w14:textId="0010013D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/>
                <w:color w:val="1F4E79"/>
                <w:sz w:val="17"/>
              </w:rPr>
              <w:t>备注</w:t>
            </w:r>
          </w:p>
        </w:tc>
      </w:tr>
      <w:tr>
        <w:tc>
          <w:tcPr>
            <w:tcW w:w="648" w:type="dxa"/>
            <w:vAlign w:val="center"/>
          </w:tcPr>
          <w:p w14:paraId="0010013E" w14:textId="0010013F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7"/>
              </w:rPr>
              <w:t>1</w:t>
            </w:r>
          </w:p>
        </w:tc>
        <w:tc>
          <w:tcPr>
            <w:tcW w:w="3312" w:type="dxa"/>
            <w:vAlign w:val="center"/>
          </w:tcPr>
          <w:p w14:paraId="00100140" w14:textId="00100141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井盖消音胶维修治理服务</w:t>
            </w:r>
          </w:p>
        </w:tc>
        <w:tc>
          <w:tcPr>
            <w:tcW w:w="720" w:type="dxa"/>
            <w:vAlign w:val="center"/>
          </w:tcPr>
          <w:p w14:paraId="00100142" w14:textId="00100143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口</w:t>
            </w:r>
          </w:p>
        </w:tc>
        <w:tc>
          <w:tcPr>
            <w:tcW w:w="864" w:type="dxa"/>
            <w:vAlign w:val="center"/>
          </w:tcPr>
          <w:p w14:paraId="00100144" w14:textId="00100145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____</w:t>
            </w:r>
          </w:p>
        </w:tc>
        <w:tc>
          <w:tcPr>
            <w:tcW w:w="1440" w:type="dxa"/>
            <w:vAlign w:val="center"/>
          </w:tcPr>
          <w:p w14:paraId="00100146" w14:textId="00100147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____</w:t>
            </w:r>
          </w:p>
        </w:tc>
        <w:tc>
          <w:tcPr>
            <w:tcW w:w="1440" w:type="dxa"/>
            <w:vAlign w:val="center"/>
          </w:tcPr>
          <w:p w14:paraId="00100148" w14:textId="00100149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____</w:t>
            </w:r>
          </w:p>
        </w:tc>
        <w:tc>
          <w:tcPr>
            <w:tcW w:w="2304" w:type="dxa"/>
            <w:vAlign w:val="center"/>
          </w:tcPr>
          <w:p w14:paraId="0010014A" w14:textId="0010014B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含材料、人工、施工及一次回访</w:t>
            </w:r>
          </w:p>
        </w:tc>
      </w:tr>
      <w:tr>
        <w:tc>
          <w:tcPr>
            <w:tcW w:w="648" w:type="dxa"/>
            <w:vAlign w:val="center"/>
          </w:tcPr>
          <w:p w14:paraId="0010014C" w14:textId="0010014D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7"/>
              </w:rPr>
              <w:t>2</w:t>
            </w:r>
          </w:p>
        </w:tc>
        <w:tc>
          <w:tcPr>
            <w:tcW w:w="3312" w:type="dxa"/>
            <w:vAlign w:val="center"/>
          </w:tcPr>
          <w:p w14:paraId="0010014E" w14:textId="0010014F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夜间/应急/交通组织等附加服务</w:t>
            </w:r>
          </w:p>
        </w:tc>
        <w:tc>
          <w:tcPr>
            <w:tcW w:w="720" w:type="dxa"/>
            <w:vAlign w:val="center"/>
          </w:tcPr>
          <w:p w14:paraId="00100150" w14:textId="00100151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项</w:t>
            </w:r>
          </w:p>
        </w:tc>
        <w:tc>
          <w:tcPr>
            <w:tcW w:w="864" w:type="dxa"/>
            <w:vAlign w:val="center"/>
          </w:tcPr>
          <w:p w14:paraId="00100152" w14:textId="00100153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____</w:t>
            </w:r>
          </w:p>
        </w:tc>
        <w:tc>
          <w:tcPr>
            <w:tcW w:w="1440" w:type="dxa"/>
            <w:vAlign w:val="center"/>
          </w:tcPr>
          <w:p w14:paraId="00100154" w14:textId="00100155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____</w:t>
            </w:r>
          </w:p>
        </w:tc>
        <w:tc>
          <w:tcPr>
            <w:tcW w:w="1440" w:type="dxa"/>
            <w:vAlign w:val="center"/>
          </w:tcPr>
          <w:p w14:paraId="00100156" w14:textId="00100157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____</w:t>
            </w:r>
          </w:p>
        </w:tc>
        <w:tc>
          <w:tcPr>
            <w:tcW w:w="2304" w:type="dxa"/>
            <w:vAlign w:val="center"/>
          </w:tcPr>
          <w:p w14:paraId="00100158" w14:textId="00100159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按实际发生计取</w:t>
            </w:r>
          </w:p>
        </w:tc>
      </w:tr>
      <w:tr>
        <w:tc>
          <w:tcPr>
            <w:tcW w:w="648" w:type="dxa"/>
            <w:vAlign w:val="center"/>
          </w:tcPr>
          <w:p w14:paraId="0010015A" w14:textId="0010015B">
            <w:pPr>
              <w:spacing w:after="0"/>
              <w:jc w:val="center"/>
            </w:pPr>
            <w:r/>
            <w:r>
              <w:rPr>
                <w:rFonts w:ascii="宋体" w:hAnsi="宋体" w:eastAsia="宋体"/>
                <w:b w:val="0"/>
                <w:sz w:val="17"/>
              </w:rPr>
              <w:t>合计</w:t>
            </w:r>
          </w:p>
        </w:tc>
        <w:tc>
          <w:tcPr>
            <w:tcW w:w="3312" w:type="dxa"/>
            <w:vAlign w:val="center"/>
          </w:tcPr>
          <w:p w14:paraId="0010015C" w14:textId="0010015D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</w:r>
          </w:p>
        </w:tc>
        <w:tc>
          <w:tcPr>
            <w:tcW w:w="720" w:type="dxa"/>
            <w:vAlign w:val="center"/>
          </w:tcPr>
          <w:p w14:paraId="0010015E" w14:textId="0010015F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</w:r>
          </w:p>
        </w:tc>
        <w:tc>
          <w:tcPr>
            <w:tcW w:w="864" w:type="dxa"/>
            <w:vAlign w:val="center"/>
          </w:tcPr>
          <w:p w14:paraId="00100160" w14:textId="00100161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</w:r>
          </w:p>
        </w:tc>
        <w:tc>
          <w:tcPr>
            <w:tcW w:w="1440" w:type="dxa"/>
            <w:vAlign w:val="center"/>
          </w:tcPr>
          <w:p w14:paraId="00100162" w14:textId="00100163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</w:r>
          </w:p>
        </w:tc>
        <w:tc>
          <w:tcPr>
            <w:tcW w:w="1440" w:type="dxa"/>
            <w:vAlign w:val="center"/>
          </w:tcPr>
          <w:p w14:paraId="00100164" w14:textId="00100165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  <w:t>____</w:t>
            </w:r>
          </w:p>
        </w:tc>
        <w:tc>
          <w:tcPr>
            <w:tcW w:w="2304" w:type="dxa"/>
            <w:vAlign w:val="center"/>
          </w:tcPr>
          <w:p w14:paraId="00100166" w14:textId="00100167">
            <w:pPr>
              <w:spacing w:after="0"/>
              <w:jc w:val="left"/>
            </w:pPr>
            <w:r/>
            <w:r>
              <w:rPr>
                <w:rFonts w:ascii="宋体" w:hAnsi="宋体" w:eastAsia="宋体"/>
                <w:b w:val="0"/>
                <w:sz w:val="17"/>
              </w:rPr>
            </w:r>
          </w:p>
        </w:tc>
      </w:tr>
    </w:tbl>
    <w:p w14:paraId="00100168" w14:textId="00100169">
      <w:pPr>
        <w:spacing w:after="60" w:line="348" w:lineRule="auto"/>
      </w:pPr>
      <w:r>
        <w:rPr>
          <w:rFonts w:ascii="宋体" w:hAnsi="宋体" w:eastAsia="宋体"/>
          <w:b w:val="0"/>
          <w:sz w:val="19"/>
        </w:rPr>
        <w:t>报价有效期：____日。付款方式：________________。质保/回访：按合同约定执行。特别说明：本报价以现场勘查确认井盖具备修复条件为前提。</w:t>
      </w:r>
    </w:p>
    <w:sectPr w:rsidRPr="0006063C" w:rsidR="00FC693F" w:rsidSect="00034616">
      <w:footerReference w:type="default" r:id="rId9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 w14:paraId="0010016A" w14:textId="0010016B">
    <w:pPr>
      <w:pStyle w:val="Footer"/>
      <w:jc w:val="center"/>
    </w:pPr>
    <w:r>
      <w:rPr>
        <w:rFonts w:ascii="宋体" w:hAnsi="宋体" w:eastAsia="宋体"/>
        <w:b w:val="0"/>
        <w:color w:val="808080"/>
        <w:sz w:val="16"/>
      </w:rPr>
      <w:t>辽宁博远诚达材料科技有限公司｜井盖消音胶沈阳市场客户维修报价方案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